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Default="00296133" w:rsidP="00753C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>программы «Экономическое развитие и повышение инвестиционной привлекательности Бейского муниципального района Республики Хакасия на 2026-2031 годы»</w:t>
      </w:r>
      <w:r w:rsidR="00DF2584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B35D3">
        <w:rPr>
          <w:rFonts w:ascii="Times New Roman" w:hAnsi="Times New Roman"/>
          <w:sz w:val="26"/>
          <w:szCs w:val="26"/>
        </w:rPr>
        <w:t>15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CB3A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14</cp:revision>
  <cp:lastPrinted>2025-08-04T01:20:00Z</cp:lastPrinted>
  <dcterms:created xsi:type="dcterms:W3CDTF">2025-04-16T04:50:00Z</dcterms:created>
  <dcterms:modified xsi:type="dcterms:W3CDTF">2025-09-01T09:18:00Z</dcterms:modified>
</cp:coreProperties>
</file>